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20" w:right="-604" w:hanging="0"/>
        <w:rPr/>
      </w:pPr>
      <w:bookmarkStart w:id="0" w:name="_GoBack"/>
      <w:bookmarkStart w:id="1" w:name="_GoBack"/>
      <w:bookmarkEnd w:id="1"/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2306320</wp:posOffset>
            </wp:positionH>
            <wp:positionV relativeFrom="paragraph">
              <wp:posOffset>96520</wp:posOffset>
            </wp:positionV>
            <wp:extent cx="1042670" cy="1300480"/>
            <wp:effectExtent l="0" t="0" r="0" b="0"/>
            <wp:wrapTopAndBottom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720" w:right="-604" w:hanging="0"/>
        <w:rPr/>
      </w:pPr>
      <w:r>
        <w:rPr/>
        <w:t xml:space="preserve">                                               </w:t>
      </w:r>
      <w:r>
        <w:rPr>
          <w:sz w:val="32"/>
          <w:szCs w:val="32"/>
        </w:rPr>
        <w:t>THANET  BEEKEEPERS  ASSOCIATION ( TBKA )</w:t>
      </w:r>
    </w:p>
    <w:p>
      <w:pPr>
        <w:pStyle w:val="Normal"/>
        <w:ind w:left="0" w:right="-604" w:hanging="0"/>
        <w:rPr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Annual Subscription form - 1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2021–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2021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>Group 1. Members keeping bees.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Subscription includes :-  TBKA subscription, BBKA membership, Bee Disease and Public Liability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Insurance. Please note that normal household insurance does not cover your bees.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(Subscription cost depends on number of colonies owned, see table below)          £___.___                                                                                         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2. Partner Members. (Partners of members keeping bees)                     £ 12.50 pp     £___.___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3. Country Members. (Have no bees but receive BBKA News)                £ 15.00 pp     £___.___ 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4. Junior Members. (Up to and including 17 years old)                             £   9.50 pp     £___.___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5. Friends of Thanet Beekeepers Association.                                             £   5.00 pp     £___.___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Donation to TBKA Funds………………………………………………………………………………….      £___.___                                                                                             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Total Payment…………….………£___.___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>Groups 1, 2 and 3 have the right to vote at TBKA Annual General Meeting, groups 4 and 5 cannot vote.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>Are you registered with Beebase? (Free Beekeeping information resource for Beekeepers which we strongly recommend)  YES/NO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Name…………………………………………………………………………………………………………………………………………………….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Address………………………………………………………………………………………………………………………………………………...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>Post Code………..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>Phone No……………………………………….email…………………………………………………………………………………………….</w:t>
      </w:r>
    </w:p>
    <w:p>
      <w:pPr>
        <w:pStyle w:val="Normal"/>
        <w:ind w:left="-720" w:right="-604" w:hanging="0"/>
        <w:rPr/>
      </w:pPr>
      <w:r>
        <w:rPr/>
        <w:t>Please add your email address  to confirm correct details  and if  you wish to receive the newsletter by email.</w:t>
      </w:r>
    </w:p>
    <w:p>
      <w:pPr>
        <w:pStyle w:val="Normal"/>
        <w:ind w:left="-720" w:right="-604" w:hanging="0"/>
        <w:rPr/>
      </w:pPr>
      <w:r>
        <w:rPr/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 xml:space="preserve">To enable rapid assistance if it should become necessary, we would like to pass all members’ </w:t>
      </w:r>
    </w:p>
    <w:p>
      <w:pPr>
        <w:pStyle w:val="Normal"/>
        <w:ind w:left="-720" w:right="-604" w:hanging="0"/>
        <w:rPr/>
      </w:pPr>
      <w:r>
        <w:rPr/>
        <w:t>details to the bee inspector. Please tick the box if you do not allow us to give your details  to the</w:t>
      </w:r>
    </w:p>
    <w:p>
      <w:pPr>
        <w:pStyle w:val="Normal"/>
        <w:ind w:left="-720" w:right="-604" w:hanging="0"/>
        <w:rPr/>
      </w:pPr>
      <w:r>
        <w:rPr/>
        <w:t xml:space="preserve">DEFRA bee inspector. 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869315</wp:posOffset>
                </wp:positionH>
                <wp:positionV relativeFrom="paragraph">
                  <wp:posOffset>76835</wp:posOffset>
                </wp:positionV>
                <wp:extent cx="302895" cy="280035"/>
                <wp:effectExtent l="0" t="0" r="0" b="0"/>
                <wp:wrapSquare wrapText="bothSides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8003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3.85pt;height:22.05pt;mso-wrap-distance-left:5.7pt;mso-wrap-distance-right:5.7pt;mso-wrap-distance-top:5.7pt;mso-wrap-distance-bottom:5.7pt;margin-top:6.05pt;mso-position-vertical-relative:text;margin-left:68.4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-720" w:right="-604" w:hanging="0"/>
        <w:rPr/>
      </w:pPr>
      <w:r>
        <w:rPr/>
      </w:r>
    </w:p>
    <w:p>
      <w:pPr>
        <w:pStyle w:val="Normal"/>
        <w:ind w:left="90" w:right="-604" w:hanging="720"/>
        <w:rPr/>
      </w:pPr>
      <w:r>
        <w:rPr/>
      </w:r>
    </w:p>
    <w:p>
      <w:pPr>
        <w:pStyle w:val="Normal"/>
        <w:ind w:left="90" w:right="-604" w:hanging="720"/>
        <w:rPr/>
      </w:pPr>
      <w:r>
        <w:rPr/>
      </w:r>
    </w:p>
    <w:p>
      <w:pPr>
        <w:pStyle w:val="Normal"/>
        <w:ind w:left="-630" w:right="-604" w:hanging="0"/>
        <w:rPr/>
      </w:pPr>
      <w:r>
        <w:rPr/>
        <w:t>Payment methods.</w:t>
      </w:r>
      <w:r>
        <w:rPr>
          <w:sz w:val="24"/>
          <w:szCs w:val="24"/>
        </w:rPr>
        <w:t xml:space="preserve">  </w:t>
      </w:r>
      <w:r>
        <w:rPr/>
        <w:t>CASH with completed subscription form handed in person to the treasurer.</w:t>
      </w:r>
    </w:p>
    <w:p>
      <w:pPr>
        <w:pStyle w:val="Normal"/>
        <w:ind w:left="-720" w:right="-604" w:hanging="0"/>
        <w:rPr/>
      </w:pPr>
      <w:r>
        <w:rPr/>
        <w:t xml:space="preserve">                                       </w:t>
      </w:r>
      <w:r>
        <w:rPr/>
        <w:t>CHEQUE with completed subscription form posted or handed to the treasurer.</w:t>
      </w:r>
    </w:p>
    <w:p>
      <w:pPr>
        <w:pStyle w:val="Normal"/>
        <w:ind w:left="-720" w:right="-604" w:hanging="0"/>
        <w:rPr/>
      </w:pPr>
      <w:r>
        <w:rPr/>
        <w:t xml:space="preserve">                                       </w:t>
      </w:r>
      <w:r>
        <w:rPr/>
        <w:t>Treasurer. Mr Pat Buckley, 7 Wilbrough Road, Birchington. CT7 9DY</w:t>
      </w:r>
    </w:p>
    <w:p>
      <w:pPr>
        <w:pStyle w:val="Normal"/>
        <w:ind w:left="-720" w:right="-604" w:hanging="0"/>
        <w:rPr/>
      </w:pPr>
      <w:r>
        <w:rPr/>
        <w:tab/>
        <w:tab/>
        <w:t xml:space="preserve"> BANK TRANSFER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>To pay by bank transfer use the following:- Account name TBKA   Sort code  20 -17 – 92</w:t>
      </w:r>
    </w:p>
    <w:p>
      <w:pPr>
        <w:pStyle w:val="Normal"/>
        <w:ind w:left="-720" w:right="-604" w:hanging="0"/>
        <w:rPr>
          <w:sz w:val="24"/>
          <w:szCs w:val="24"/>
        </w:rPr>
      </w:pPr>
      <w:r>
        <w:rPr>
          <w:sz w:val="24"/>
          <w:szCs w:val="24"/>
        </w:rPr>
        <w:t xml:space="preserve">Account No. 70861766.  </w:t>
      </w:r>
      <w:r>
        <w:rPr>
          <w:b/>
          <w:bCs/>
          <w:sz w:val="24"/>
          <w:szCs w:val="24"/>
        </w:rPr>
        <w:t>The reference box must include your “name” followed by “SUBS”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pay by this method please ensure you send the above form to the treasurer.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color w:val="FF0000"/>
          <w:sz w:val="24"/>
          <w:szCs w:val="24"/>
        </w:rPr>
        <w:t>Payment and subscription form to reach the Treasurer before 30</w:t>
      </w:r>
      <w:r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January 2021</w:t>
      </w:r>
    </w:p>
    <w:p>
      <w:pPr>
        <w:pStyle w:val="Normal"/>
        <w:pBdr>
          <w:bottom w:val="single" w:sz="6" w:space="1" w:color="00000A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registration of your annual subscription cannot be completed without receipt of the above completed form by the treasurer.</w:t>
      </w:r>
    </w:p>
    <w:p>
      <w:pPr>
        <w:pStyle w:val="Normal"/>
        <w:pBdr>
          <w:bottom w:val="single" w:sz="6" w:space="1" w:color="00000A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pBdr>
          <w:bottom w:val="single" w:sz="6" w:space="1" w:color="00000A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pBdr>
          <w:bottom w:val="single" w:sz="6" w:space="1" w:color="00000A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pBdr>
          <w:bottom w:val="single" w:sz="6" w:space="1" w:color="00000A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916940</wp:posOffset>
                </wp:positionH>
                <wp:positionV relativeFrom="page">
                  <wp:posOffset>2959100</wp:posOffset>
                </wp:positionV>
                <wp:extent cx="267335" cy="280035"/>
                <wp:effectExtent l="0" t="0" r="0" b="0"/>
                <wp:wrapSquare wrapText="bothSides"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003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1.05pt;height:22.05pt;mso-wrap-distance-left:5.7pt;mso-wrap-distance-right:5.7pt;mso-wrap-distance-top:5.7pt;mso-wrap-distance-bottom:5.7pt;margin-top:233pt;mso-position-vertical-relative:page;margin-left:72.2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pBdr>
          <w:bottom w:val="single" w:sz="6" w:space="1" w:color="00000A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TO CALCULATE THE BEEKEEPER’S SUBSCRIPTION CIRCLE BELOW THE TOTAL NUMBER OF COLONIES (ALLOWING FOR SEASONAL INCREASES) OWNED BY THE BEEKEEPER (AND PARTNER IF APPLICABLE).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Total Colonies    Total Subscription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>1 – 3                              £ 46</w:t>
        <w:tab/>
        <w:tab/>
        <w:tab/>
        <w:t xml:space="preserve">So, for example  if you have, or expect to have 5 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>4 – 5                              £ 48</w:t>
        <w:tab/>
        <w:tab/>
        <w:tab/>
        <w:t xml:space="preserve">colonies your membership cost will  £48. If you wish 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 xml:space="preserve">Up to 10                       £ 51.25 </w:t>
        <w:tab/>
        <w:tab/>
        <w:tab/>
        <w:t>to add a partner it will  be an additional £12.50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>Up to 15                       £ 53.75</w:t>
      </w:r>
    </w:p>
    <w:p>
      <w:pPr>
        <w:pStyle w:val="Normal"/>
        <w:rPr>
          <w:color w:val="000000"/>
        </w:rPr>
      </w:pPr>
      <w:r>
        <w:rPr>
          <w:color w:val="000000"/>
        </w:rPr>
        <w:t>Up to 20                       £ 55.50</w:t>
      </w:r>
    </w:p>
    <w:p>
      <w:pPr>
        <w:pStyle w:val="Normal"/>
        <w:rPr>
          <w:color w:val="000000"/>
        </w:rPr>
      </w:pPr>
      <w:r>
        <w:rPr>
          <w:color w:val="000000"/>
        </w:rPr>
        <w:t>Up to 25                       £ 57.10</w:t>
      </w:r>
    </w:p>
    <w:p>
      <w:pPr>
        <w:pStyle w:val="Normal"/>
        <w:rPr>
          <w:color w:val="000000"/>
        </w:rPr>
      </w:pPr>
      <w:r>
        <w:rPr>
          <w:color w:val="000000"/>
        </w:rPr>
        <w:t>26  -  30                        £ 59.60</w:t>
      </w:r>
    </w:p>
    <w:p>
      <w:pPr>
        <w:pStyle w:val="Normal"/>
        <w:rPr>
          <w:color w:val="000000"/>
        </w:rPr>
      </w:pPr>
      <w:r>
        <w:rPr>
          <w:color w:val="000000"/>
        </w:rPr>
        <w:t>31  -  35                        £ 62.10</w:t>
      </w:r>
    </w:p>
    <w:p>
      <w:pPr>
        <w:pStyle w:val="Normal"/>
        <w:rPr>
          <w:color w:val="000000"/>
        </w:rPr>
      </w:pPr>
      <w:r>
        <w:rPr>
          <w:color w:val="000000"/>
        </w:rPr>
        <w:t>36  -  39                        £ 64.10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TextBody"/>
        <w:rPr>
          <w:rFonts w:ascii="din-2014;sans-serif" w:hAnsi="din-2014;sans-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din-2014;sans-serif" w:hAnsi="din-2014;sans-serif"/>
          <w:b w:val="false"/>
          <w:i w:val="false"/>
          <w:caps w:val="false"/>
          <w:smallCaps w:val="false"/>
          <w:color w:val="000000"/>
          <w:spacing w:val="0"/>
        </w:rPr>
        <w:t xml:space="preserve">    </w:t>
      </w:r>
      <w:r>
        <w:rPr>
          <w:rFonts w:ascii="din-2014;sans-serif" w:hAnsi="din-2014;sans-serif"/>
          <w:b w:val="false"/>
          <w:i w:val="false"/>
          <w:caps w:val="false"/>
          <w:smallCaps w:val="false"/>
          <w:color w:val="000000"/>
          <w:spacing w:val="0"/>
        </w:rPr>
        <w:t>Tick box if willing to gift aid.  Yes - I am a UK taxpayer and would like to Gift Aid my donations now and in future. I understand I must pay enough income tax and/or capital gains tax each tax year to cover the amount of Gift Aid that all charities and community amateur sports clubs claim on my donations in that tax year, and I am responsible for paying any difference.</w:t>
      </w:r>
    </w:p>
    <w:p>
      <w:pPr>
        <w:pStyle w:val="TextBody"/>
        <w:widowControl/>
        <w:spacing w:before="0" w:after="450"/>
        <w:ind w:left="450" w:right="0" w:hanging="0"/>
        <w:rPr>
          <w:rFonts w:ascii="din-2014;sans-serif" w:hAnsi="din-2014;sans-serif"/>
          <w:b w:val="false"/>
          <w:i w:val="false"/>
          <w:caps w:val="false"/>
          <w:smallCaps w:val="false"/>
          <w:color w:val="333333"/>
          <w:spacing w:val="0"/>
        </w:rPr>
      </w:pPr>
      <w:r>
        <w:rPr>
          <w:rFonts w:ascii="din-2014;sans-serif" w:hAnsi="din-2014;sans-serif"/>
          <w:b w:val="false"/>
          <w:i w:val="false"/>
          <w:caps w:val="false"/>
          <w:smallCaps w:val="false"/>
          <w:color w:val="333333"/>
          <w:spacing w:val="0"/>
        </w:rPr>
        <w:t xml:space="preserve">Please remember to let us know if your tax status, name or address change or if you wish to cancel your Gift Aid declaration. </w:t>
      </w:r>
      <w:r>
        <w:rPr>
          <w:rFonts w:ascii="din-2014;sans-serif" w:hAnsi="din-2014;sans-serif"/>
          <w:b w:val="false"/>
          <w:i w:val="false"/>
          <w:caps w:val="false"/>
          <w:smallCaps w:val="false"/>
          <w:color w:val="333333"/>
          <w:spacing w:val="0"/>
        </w:rPr>
        <w:t>TBKA get no direct benefit from this but BBKA do.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350" w:right="1440" w:header="0" w:top="90" w:footer="0" w:bottom="27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din-2014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en-GB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Calibri" w:hAnsi="Calibri" w:eastAsia="SimSun" w:cs="Tahoma"/>
      <w:color w:val="auto"/>
      <w:sz w:val="22"/>
      <w:szCs w:val="22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StrongEmphasis">
    <w:name w:val="Strong Emphasis"/>
    <w:basedOn w:val="DefaultParagraphFont"/>
    <w:qFormat/>
    <w:rPr>
      <w:b/>
      <w:bCs/>
    </w:rPr>
  </w:style>
  <w:style w:type="character" w:styleId="QuoteChar">
    <w:name w:val="Quote Char"/>
    <w:basedOn w:val="DefaultParagraphFont"/>
    <w:qFormat/>
    <w:rPr>
      <w:i/>
      <w:iCs/>
      <w:color w:val="40404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Quote">
    <w:name w:val="Quote"/>
    <w:basedOn w:val="Normal"/>
    <w:qFormat/>
    <w:pPr>
      <w:numPr>
        <w:ilvl w:val="0"/>
        <w:numId w:val="0"/>
      </w:num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FrameContents">
    <w:name w:val="Frame Contents"/>
    <w:basedOn w:val="TextBod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LibreOffice/5.3.4.2$Windows_x86 LibreOffice_project/f82d347ccc0be322489bf7da61d7e4ad13fe2ff3</Application>
  <Pages>2</Pages>
  <Words>537</Words>
  <Characters>2815</Characters>
  <CharactersWithSpaces>4259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2019-02-18T19:06:00Z</dcterms:created>
  <dc:creator>roger martin thompson</dc:creator>
  <dc:description/>
  <dc:language>en-GB</dc:language>
  <cp:lastModifiedBy/>
  <dcterms:modified xsi:type="dcterms:W3CDTF">2020-12-30T16:10:24Z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